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CF" w:rsidRPr="003141CF" w:rsidRDefault="003141CF" w:rsidP="003141C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Письмо Минтруда России  №18-2/10/2-1490 от 19 марта </w:t>
      </w:r>
      <w:smartTag w:uri="urn:schemas-microsoft-com:office:smarttags" w:element="metricconverter">
        <w:smartTagPr>
          <w:attr w:name="ProductID" w:val="2013 г"/>
        </w:smartTagPr>
        <w:r w:rsidRPr="003141CF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141CF">
        <w:rPr>
          <w:rFonts w:ascii="Times New Roman" w:hAnsi="Times New Roman" w:cs="Times New Roman"/>
          <w:sz w:val="28"/>
          <w:szCs w:val="28"/>
        </w:rPr>
        <w:t>.</w:t>
      </w:r>
    </w:p>
    <w:p w:rsidR="003141CF" w:rsidRPr="003141CF" w:rsidRDefault="003141CF" w:rsidP="003141C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141CF">
        <w:rPr>
          <w:rFonts w:ascii="Times New Roman" w:hAnsi="Times New Roman" w:cs="Times New Roman"/>
          <w:b/>
          <w:kern w:val="36"/>
          <w:sz w:val="28"/>
          <w:szCs w:val="28"/>
        </w:rPr>
        <w:t>Комплекс мер, направленных на привлечение государственных и муниципальных служащих к противодействию коррупции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Style w:val="a3"/>
          <w:rFonts w:ascii="Times New Roman" w:hAnsi="Times New Roman" w:cs="Times New Roman"/>
          <w:sz w:val="28"/>
          <w:szCs w:val="28"/>
        </w:rPr>
        <w:t xml:space="preserve">I. Организация </w:t>
      </w:r>
      <w:proofErr w:type="spellStart"/>
      <w:r w:rsidRPr="003141CF">
        <w:rPr>
          <w:rStyle w:val="a3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41CF">
        <w:rPr>
          <w:rStyle w:val="a3"/>
          <w:rFonts w:ascii="Times New Roman" w:hAnsi="Times New Roman" w:cs="Times New Roman"/>
          <w:sz w:val="28"/>
          <w:szCs w:val="28"/>
        </w:rPr>
        <w:t xml:space="preserve"> деятельности в федеральных государственных 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С 2008 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</w:t>
      </w:r>
      <w:proofErr w:type="gramStart"/>
      <w:r w:rsidRPr="003141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мер.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комиссии муниципального образования (далее –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и может различаться.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 xml:space="preserve">Для стимулирования активности в данной деятельности в Национальном плане противодействия коррупции на 2012-2013 годы, утвержденном Указом Президента Российской Федерации от 13 марта </w:t>
      </w:r>
      <w:smartTag w:uri="urn:schemas-microsoft-com:office:smarttags" w:element="metricconverter">
        <w:smartTagPr>
          <w:attr w:name="ProductID" w:val="2012 г"/>
        </w:smartTagPr>
        <w:r w:rsidRPr="003141CF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3141CF">
        <w:rPr>
          <w:rFonts w:ascii="Times New Roman" w:hAnsi="Times New Roman" w:cs="Times New Roman"/>
          <w:sz w:val="28"/>
          <w:szCs w:val="28"/>
        </w:rPr>
        <w:t>. № 297 (далее –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Реализацию мероприятий, направленных на противодействие коррупции, необходимо осуществлять систематически на плановой основе.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В целях обеспечения единого подхода к организации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деятельности в федеральных органах исполнительной власти на заседании Правительственной комиссии по проведению административной реформы 15 июня </w:t>
      </w:r>
      <w:smartTag w:uri="urn:schemas-microsoft-com:office:smarttags" w:element="metricconverter">
        <w:smartTagPr>
          <w:attr w:name="ProductID" w:val="2012 г"/>
        </w:smartTagPr>
        <w:r w:rsidRPr="003141CF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3141CF">
        <w:rPr>
          <w:rFonts w:ascii="Times New Roman" w:hAnsi="Times New Roman" w:cs="Times New Roman"/>
          <w:sz w:val="28"/>
          <w:szCs w:val="28"/>
        </w:rPr>
        <w:t xml:space="preserve">. одобрен Типовой план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</w:t>
      </w:r>
      <w:r w:rsidRPr="003141CF">
        <w:rPr>
          <w:rFonts w:ascii="Times New Roman" w:hAnsi="Times New Roman" w:cs="Times New Roman"/>
          <w:sz w:val="28"/>
          <w:szCs w:val="28"/>
        </w:rPr>
        <w:lastRenderedPageBreak/>
        <w:t>законами, указами Президента Российской Федерации, постановлениями Правительства Российской Федерации и поручениями.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Деятельность остальных федеральных государственных органов планируется с учетом положений Национальной стратегии противодействия коррупции, утвержденной Указом Президента Российской Федерации от 13 апреля </w:t>
      </w:r>
      <w:smartTag w:uri="urn:schemas-microsoft-com:office:smarttags" w:element="metricconverter">
        <w:smartTagPr>
          <w:attr w:name="ProductID" w:val="2010 г"/>
        </w:smartTagPr>
        <w:r w:rsidRPr="003141C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141CF">
        <w:rPr>
          <w:rFonts w:ascii="Times New Roman" w:hAnsi="Times New Roman" w:cs="Times New Roman"/>
          <w:sz w:val="28"/>
          <w:szCs w:val="28"/>
        </w:rPr>
        <w:t>. № 460, и Национального плана противодействия коррупции.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  <w:proofErr w:type="gramEnd"/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деятельности по вопросам, напрямую не предусмотренным вышеуказанными программными документами.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Отсутствие культуры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Style w:val="a3"/>
          <w:rFonts w:ascii="Times New Roman" w:hAnsi="Times New Roman" w:cs="Times New Roman"/>
          <w:sz w:val="28"/>
          <w:szCs w:val="28"/>
        </w:rPr>
        <w:t>II. Описание мер, направленных на привлечение государственных и муниципальных служащих к противодействию коррупции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3141CF" w:rsidRPr="003141CF" w:rsidRDefault="003141CF" w:rsidP="003141CF">
      <w:pPr>
        <w:numPr>
          <w:ilvl w:val="0"/>
          <w:numId w:val="1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3141CF" w:rsidRPr="003141CF" w:rsidRDefault="003141CF" w:rsidP="003141CF">
      <w:pPr>
        <w:numPr>
          <w:ilvl w:val="0"/>
          <w:numId w:val="1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</w:t>
      </w:r>
      <w:r w:rsidRPr="003141CF">
        <w:rPr>
          <w:rFonts w:ascii="Times New Roman" w:hAnsi="Times New Roman" w:cs="Times New Roman"/>
          <w:sz w:val="28"/>
          <w:szCs w:val="28"/>
        </w:rPr>
        <w:lastRenderedPageBreak/>
        <w:t>комиссий по соблюдению требований к служебному поведению и урегулированию конфликта интересов (далее – комиссии), осуществляющих функции по противодействию коррупции;</w:t>
      </w:r>
    </w:p>
    <w:p w:rsidR="003141CF" w:rsidRPr="003141CF" w:rsidRDefault="003141CF" w:rsidP="003141CF">
      <w:pPr>
        <w:numPr>
          <w:ilvl w:val="0"/>
          <w:numId w:val="1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3141CF" w:rsidRPr="003141CF" w:rsidRDefault="003141CF" w:rsidP="003141CF">
      <w:pPr>
        <w:numPr>
          <w:ilvl w:val="0"/>
          <w:numId w:val="1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просвещение государственных и муниципальных служащих по вопросам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тематики и методическое обеспечение их профессиональной служебной деятельности. 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1. 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– подразделение), рекомендуется обеспечить информирование государственных (муниципальных) служащих о возможности участия в его подготовке.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Представляется целесообразным проводить обсуждение как тех проектов актов, которые разрабатываются органом государственной власти и 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Рекомендуется не реже одного раза в год проводить обсуждения практики применения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Высказанные государственными (муниципальными) служащими замечания следует использовать при составлении писем в Минтруд России </w:t>
      </w:r>
      <w:r w:rsidRPr="003141CF">
        <w:rPr>
          <w:rFonts w:ascii="Times New Roman" w:hAnsi="Times New Roman" w:cs="Times New Roman"/>
          <w:sz w:val="28"/>
          <w:szCs w:val="28"/>
        </w:rPr>
        <w:lastRenderedPageBreak/>
        <w:t>или государственный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тематике с использованием механизмов, предусмотренных действующим законодательством Российской Федерации. 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2. 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 xml:space="preserve">В соответствии с пунктом 8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 июля </w:t>
      </w:r>
      <w:smartTag w:uri="urn:schemas-microsoft-com:office:smarttags" w:element="metricconverter">
        <w:smartTagPr>
          <w:attr w:name="ProductID" w:val="2010 г"/>
        </w:smartTagPr>
        <w:r w:rsidRPr="003141CF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141CF">
        <w:rPr>
          <w:rFonts w:ascii="Times New Roman" w:hAnsi="Times New Roman" w:cs="Times New Roman"/>
          <w:sz w:val="28"/>
          <w:szCs w:val="28"/>
        </w:rPr>
        <w:t>. № 821,</w:t>
      </w:r>
      <w:r w:rsidRPr="00314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1CF">
        <w:rPr>
          <w:rFonts w:ascii="Times New Roman" w:hAnsi="Times New Roman" w:cs="Times New Roman"/>
          <w:sz w:val="28"/>
          <w:szCs w:val="28"/>
        </w:rPr>
        <w:t>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руководителем.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Аналогичный порядок формирования комиссии предусматривается и для муниципальных служащих.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lastRenderedPageBreak/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 w:rsidR="003141CF" w:rsidRPr="003141CF" w:rsidRDefault="003141CF" w:rsidP="003141CF">
      <w:pPr>
        <w:numPr>
          <w:ilvl w:val="0"/>
          <w:numId w:val="2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</w:t>
      </w:r>
    </w:p>
    <w:p w:rsidR="003141CF" w:rsidRPr="003141CF" w:rsidRDefault="003141CF" w:rsidP="003141CF">
      <w:pPr>
        <w:numPr>
          <w:ilvl w:val="0"/>
          <w:numId w:val="2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программах наставничества над лицами, впервые поступающими на государственную (муниципальную) службу;</w:t>
      </w:r>
    </w:p>
    <w:p w:rsidR="003141CF" w:rsidRPr="003141CF" w:rsidRDefault="003141CF" w:rsidP="003141CF">
      <w:pPr>
        <w:numPr>
          <w:ilvl w:val="0"/>
          <w:numId w:val="2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подготовке типовых ситуаций конфликта интересов и иных методических материалов по профилактике коррупции;</w:t>
      </w:r>
    </w:p>
    <w:p w:rsidR="003141CF" w:rsidRPr="003141CF" w:rsidRDefault="003141CF" w:rsidP="003141CF">
      <w:pPr>
        <w:numPr>
          <w:ilvl w:val="0"/>
          <w:numId w:val="2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в социологических опросах, направленных на оценку восприятия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мер и их эффективности;</w:t>
      </w:r>
    </w:p>
    <w:p w:rsidR="003141CF" w:rsidRPr="003141CF" w:rsidRDefault="003141CF" w:rsidP="003141CF">
      <w:pPr>
        <w:numPr>
          <w:ilvl w:val="0"/>
          <w:numId w:val="2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 </w:t>
      </w:r>
    </w:p>
    <w:p w:rsidR="003141CF" w:rsidRPr="003141CF" w:rsidRDefault="003141CF" w:rsidP="003141CF">
      <w:pPr>
        <w:numPr>
          <w:ilvl w:val="0"/>
          <w:numId w:val="2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 других мероприятиях такого рода. 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3. 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 w:rsidR="003141CF" w:rsidRPr="003141CF" w:rsidRDefault="003141CF" w:rsidP="003141CF">
      <w:pPr>
        <w:numPr>
          <w:ilvl w:val="0"/>
          <w:numId w:val="3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правонарушений;</w:t>
      </w:r>
      <w:proofErr w:type="gramEnd"/>
    </w:p>
    <w:p w:rsidR="003141CF" w:rsidRPr="003141CF" w:rsidRDefault="003141CF" w:rsidP="003141CF">
      <w:pPr>
        <w:numPr>
          <w:ilvl w:val="0"/>
          <w:numId w:val="3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 w:rsidR="003141CF" w:rsidRPr="003141CF" w:rsidRDefault="003141CF" w:rsidP="003141CF">
      <w:pPr>
        <w:numPr>
          <w:ilvl w:val="0"/>
          <w:numId w:val="3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довести до сведения государственных (муниципальных)  служащих, что они имеют возможность уведомлять представителя нанимателя (работодателя) обо всех </w:t>
      </w:r>
      <w:r w:rsidRPr="003141CF">
        <w:rPr>
          <w:rFonts w:ascii="Times New Roman" w:hAnsi="Times New Roman" w:cs="Times New Roman"/>
          <w:sz w:val="28"/>
          <w:szCs w:val="28"/>
        </w:rPr>
        <w:lastRenderedPageBreak/>
        <w:t>ставших им известными фактах совершения коррупционных правонарушений вне зависимости от того, обращался ли к ним кто-то лично.</w:t>
      </w:r>
    </w:p>
    <w:p w:rsidR="003141CF" w:rsidRPr="003141CF" w:rsidRDefault="003141CF" w:rsidP="003141CF">
      <w:pPr>
        <w:numPr>
          <w:ilvl w:val="0"/>
          <w:numId w:val="3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 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4. Просвещение государственных и муниципальных служащих по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антикорруцпионной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тематике и методическое обеспечение профессиональной служебной деятельности государственных и муниципальных служащих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3141CF" w:rsidRPr="003141CF" w:rsidRDefault="003141CF" w:rsidP="003141CF">
      <w:pPr>
        <w:numPr>
          <w:ilvl w:val="0"/>
          <w:numId w:val="4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уголовная ответственность за дачу и получение взятки;</w:t>
      </w:r>
    </w:p>
    <w:p w:rsidR="003141CF" w:rsidRPr="003141CF" w:rsidRDefault="003141CF" w:rsidP="003141CF">
      <w:pPr>
        <w:numPr>
          <w:ilvl w:val="0"/>
          <w:numId w:val="4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получение подарков;</w:t>
      </w:r>
    </w:p>
    <w:p w:rsidR="003141CF" w:rsidRPr="003141CF" w:rsidRDefault="003141CF" w:rsidP="003141CF">
      <w:pPr>
        <w:numPr>
          <w:ilvl w:val="0"/>
          <w:numId w:val="4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урегулирование конфликта интересов;</w:t>
      </w:r>
    </w:p>
    <w:p w:rsidR="003141CF" w:rsidRPr="003141CF" w:rsidRDefault="003141CF" w:rsidP="003141CF">
      <w:pPr>
        <w:numPr>
          <w:ilvl w:val="0"/>
          <w:numId w:val="4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выполнение иной оплачиваемой работы;</w:t>
      </w:r>
    </w:p>
    <w:p w:rsidR="003141CF" w:rsidRPr="003141CF" w:rsidRDefault="003141CF" w:rsidP="003141CF">
      <w:pPr>
        <w:numPr>
          <w:ilvl w:val="0"/>
          <w:numId w:val="4"/>
        </w:num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информирование о замеченных фактах коррупции и т.д.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Чтобы способствовать самостоятельному изучению гражданами, претендующими на замещение должностей государственной (муниципальной) службы, основ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законодательства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lastRenderedPageBreak/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Так, в частности, рекомендуется 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</w:t>
      </w:r>
      <w:proofErr w:type="gramStart"/>
      <w:r w:rsidRPr="003141CF">
        <w:rPr>
          <w:rFonts w:ascii="Times New Roman" w:hAnsi="Times New Roman" w:cs="Times New Roman"/>
          <w:sz w:val="28"/>
          <w:szCs w:val="28"/>
        </w:rPr>
        <w:t xml:space="preserve">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законодательства, детальному разбору отдельных наиболее сложных положений нормативных правовых актов и т.д.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мониторинг уровня знаний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>Беседа с государственным (муниципальным) служащими, увольняющимися с государственной (муниципальной) службы, чьи должности входили в перечень, установленный Указом Президента Российской Федерации от 21 июля 2010 г. № 925 «О мерах по реализации отдельных положений Федерального закона «О противодействии коррупции».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В ходе беседы государственному (муниципальному) служащему следует разъяснить ограничения, связанные с его последующим </w:t>
      </w:r>
      <w:r w:rsidRPr="003141CF">
        <w:rPr>
          <w:rFonts w:ascii="Times New Roman" w:hAnsi="Times New Roman" w:cs="Times New Roman"/>
          <w:sz w:val="28"/>
          <w:szCs w:val="28"/>
        </w:rPr>
        <w:lastRenderedPageBreak/>
        <w:t>трудоустройством, а также предоставить ему соответствующие методические материалы и контактную информацию подразделения.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 xml:space="preserve">Одним из дополнительных инструментов реализации отдельных мероприятий, предусмотренных настоящим комплексом мер, может </w:t>
      </w:r>
      <w:r w:rsidRPr="003141CF">
        <w:rPr>
          <w:rFonts w:ascii="Times New Roman" w:hAnsi="Times New Roman" w:cs="Times New Roman"/>
          <w:sz w:val="28"/>
          <w:szCs w:val="28"/>
        </w:rPr>
        <w:br/>
        <w:t>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CF">
        <w:rPr>
          <w:rFonts w:ascii="Times New Roman" w:hAnsi="Times New Roman" w:cs="Times New Roman"/>
          <w:sz w:val="28"/>
          <w:szCs w:val="28"/>
        </w:rPr>
        <w:t xml:space="preserve">Кроме того, на внутреннем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возможно проведение консультаций с государственными (муниципальными) служащими по вопросам выполнения и реализации требований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законодательства с помощью различных процедур: в режиме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по выделенному специальному адресу электронной почты, в режиме «вопрос-ответ» посредством размещения ответов на актуальные и часто задаваемые вопросы, в виде проведения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конференции с участием всех заинтересованных государственных (муниципальных) служащих.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Также представляется целесообразным размещать на </w:t>
      </w:r>
      <w:proofErr w:type="gramStart"/>
      <w:r w:rsidRPr="003141CF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31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разработанные ведомством формы (заявления), заполняемые государственными (муниципальными) служащими в случаях, предусмотренных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законодательством, методические рекомендации, памятки и разъяснения по вопросам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тематики.</w:t>
      </w:r>
    </w:p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Style w:val="a3"/>
          <w:rFonts w:ascii="Times New Roman" w:hAnsi="Times New Roman" w:cs="Times New Roman"/>
          <w:sz w:val="28"/>
          <w:szCs w:val="28"/>
        </w:rPr>
        <w:t>III. Перечень мер, направленных на привлечение государственных и муниципальных служащих к противодействию коррупции</w:t>
      </w:r>
    </w:p>
    <w:tbl>
      <w:tblPr>
        <w:tblW w:w="4865" w:type="pct"/>
        <w:tblInd w:w="-7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9058"/>
        <w:gridCol w:w="17"/>
      </w:tblGrid>
      <w:tr w:rsidR="003141CF" w:rsidRPr="003141CF" w:rsidTr="003141CF">
        <w:trPr>
          <w:gridAfter w:val="1"/>
          <w:wAfter w:w="9" w:type="pct"/>
        </w:trPr>
        <w:tc>
          <w:tcPr>
            <w:tcW w:w="4991" w:type="pct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 Привлечение государственных и муниципальных служащих к участию в обсуждении и разработке 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нормативных правовых актов по вопросам противодействия коррупции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организации обсуждения полученных предложений государственных (муниципальных) служащих по проектам актов.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 реже одного раза в год обсуждений практики применения </w:t>
            </w:r>
            <w:proofErr w:type="spellStart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с государственными (муниципальными) служащими органа государственной власти и местного самоуправления.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Уведомление государственных (муниципальных) служащих органа </w:t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власти и местного самоуправления о возможности принять участие в публичном обсуждении проектов нормативных правовых актов по </w:t>
            </w:r>
            <w:proofErr w:type="spellStart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с использованием механизмов, предусмотренных действующим законодательством Российской Федерации.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rPr>
          <w:gridAfter w:val="1"/>
          <w:wAfter w:w="9" w:type="pct"/>
        </w:trPr>
        <w:tc>
          <w:tcPr>
            <w:tcW w:w="4991" w:type="pct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 Активизация участия государственных и муниципальных служащих в работе структурных подразделений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работе комиссии по соблюдению требований к служебному поведению и урегулированию конфликта 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регулярной ротации,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Информирование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rPr>
          <w:gridAfter w:val="1"/>
          <w:wAfter w:w="9" w:type="pct"/>
        </w:trPr>
        <w:tc>
          <w:tcPr>
            <w:tcW w:w="4991" w:type="pct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 Стимулирование государственных и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 ситуациях конфликта интересов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</w:t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  <w:bookmarkStart w:id="0" w:name="_ftnref1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"file:///C:\\Documents%20and%20Settings\\KokorevaEV\\%D0%A0%D0%B0%D0%B1%D0%BE%D1%87%D0%B8%D0%B9%20%D1%81%D1%82%D0%BE%D0%BB\\%D0%A2%D0%B0%D0%B1%D0%BB%D0%B8%D1%86%D0%B0%20.doc" \l "_ftn1" \o "" </w:instrText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141CF">
              <w:rPr>
                <w:rFonts w:ascii="Times New Roman" w:hAnsi="Times New Roman" w:cs="Times New Roman"/>
                <w:color w:val="003D4D"/>
                <w:sz w:val="28"/>
                <w:szCs w:val="28"/>
                <w:u w:val="single"/>
              </w:rPr>
              <w:t>[1]</w:t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Разъяснение порядка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государственных (муниципальных) служащих, что они не только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rPr>
          <w:gridAfter w:val="1"/>
          <w:wAfter w:w="9" w:type="pct"/>
        </w:trPr>
        <w:tc>
          <w:tcPr>
            <w:tcW w:w="4991" w:type="pct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 Просвещение государственных и муниципальных служащих по </w:t>
            </w:r>
            <w:proofErr w:type="spellStart"/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антикорруцпионной</w:t>
            </w:r>
            <w:proofErr w:type="spellEnd"/>
            <w:r w:rsidRPr="0031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тематике и методическое обеспечение профессиональной служебной деятельности государственных и муниципальных служащих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рамках проведения конкурсных процедур анкетирования, тестирования или иных методов оценки знания положений основ </w:t>
            </w:r>
            <w:proofErr w:type="spellStart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различных видов учебных семинаров по вопросам противодействия коррупции: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- вводного семинара для граждан, впервые поступивших на государственную (муниципальную) службу;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- регулярных семинаров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</w:t>
            </w: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государственной власти и местного самоуправления;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- специальных семинаров в случае существенных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41CF" w:rsidRPr="003141CF" w:rsidTr="003141CF">
        <w:tc>
          <w:tcPr>
            <w:tcW w:w="160" w:type="pct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75" w:type="dxa"/>
            <w:gridSpan w:val="2"/>
            <w:tcBorders>
              <w:top w:val="outset" w:sz="6" w:space="0" w:color="auto"/>
              <w:left w:val="single" w:sz="12" w:space="0" w:color="F4F6F0"/>
              <w:bottom w:val="outset" w:sz="6" w:space="0" w:color="auto"/>
              <w:right w:val="single" w:sz="12" w:space="0" w:color="F4F6F0"/>
            </w:tcBorders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регулярной работы по разъяснению исполнения требований </w:t>
            </w:r>
            <w:proofErr w:type="spellStart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3141C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государственным (муниципальным) служащими, увольняющимися с государственной (муниципальной) службы, чьи должности входили в перечень, установленный Указом Президента Российской Федерации  от 21 июля 2010 г. № 925 «О мерах по реализации отдельных положений Федерального закона «О противодействии коррупции».</w:t>
            </w:r>
          </w:p>
          <w:p w:rsidR="003141CF" w:rsidRPr="003141CF" w:rsidRDefault="003141CF" w:rsidP="003141CF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 </w:t>
      </w:r>
    </w:p>
    <w:p w:rsidR="003141CF" w:rsidRPr="003141CF" w:rsidRDefault="003141CF" w:rsidP="0031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pict>
          <v:rect id="_x0000_i1025" style="width:0;height:.75pt" o:hrstd="t" o:hr="t" fillcolor="#aca899" stroked="f"/>
        </w:pict>
      </w:r>
    </w:p>
    <w:bookmarkStart w:id="1" w:name="_ftn1"/>
    <w:p w:rsidR="003141CF" w:rsidRPr="003141CF" w:rsidRDefault="003141CF" w:rsidP="003141C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fldChar w:fldCharType="begin"/>
      </w:r>
      <w:r w:rsidRPr="003141CF">
        <w:rPr>
          <w:rFonts w:ascii="Times New Roman" w:hAnsi="Times New Roman" w:cs="Times New Roman"/>
          <w:sz w:val="28"/>
          <w:szCs w:val="28"/>
        </w:rPr>
        <w:instrText xml:space="preserve"> HYPERLINK "file:///C:\\Documents%20and%20Settings\\KokorevaEV\\%D0%A0%D0%B0%D0%B1%D0%BE%D1%87%D0%B8%D0%B9%20%D1%81%D1%82%D0%BE%D0%BB\\%D0%A2%D0%B0%D0%B1%D0%BB%D0%B8%D1%86%D0%B0%20.doc" \l "_ftnref1" \o "" </w:instrText>
      </w:r>
      <w:r w:rsidRPr="003141CF">
        <w:rPr>
          <w:rFonts w:ascii="Times New Roman" w:hAnsi="Times New Roman" w:cs="Times New Roman"/>
          <w:sz w:val="28"/>
          <w:szCs w:val="28"/>
        </w:rPr>
      </w:r>
      <w:r w:rsidRPr="003141CF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3141CF">
        <w:rPr>
          <w:rFonts w:ascii="Times New Roman" w:hAnsi="Times New Roman" w:cs="Times New Roman"/>
          <w:color w:val="003D4D"/>
          <w:sz w:val="28"/>
          <w:szCs w:val="28"/>
          <w:u w:val="single"/>
        </w:rPr>
        <w:t>[1]</w:t>
      </w:r>
      <w:r w:rsidRPr="003141C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3141C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</w:t>
      </w:r>
      <w:proofErr w:type="spellStart"/>
      <w:r w:rsidRPr="003141C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141CF">
        <w:rPr>
          <w:rFonts w:ascii="Times New Roman" w:hAnsi="Times New Roman" w:cs="Times New Roman"/>
          <w:sz w:val="28"/>
          <w:szCs w:val="28"/>
        </w:rPr>
        <w:t xml:space="preserve"> России и письмом от 20 сентября </w:t>
      </w:r>
      <w:smartTag w:uri="urn:schemas-microsoft-com:office:smarttags" w:element="metricconverter">
        <w:smartTagPr>
          <w:attr w:name="ProductID" w:val="2010 г"/>
        </w:smartTagPr>
        <w:r w:rsidRPr="003141C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141CF">
        <w:rPr>
          <w:rFonts w:ascii="Times New Roman" w:hAnsi="Times New Roman" w:cs="Times New Roman"/>
          <w:sz w:val="28"/>
          <w:szCs w:val="28"/>
        </w:rPr>
        <w:t>. № 7666-17 направлены в федеральные государственные органы для использования в работе.</w:t>
      </w:r>
      <w:proofErr w:type="gramEnd"/>
    </w:p>
    <w:p w:rsidR="003141CF" w:rsidRPr="003141CF" w:rsidRDefault="003141CF" w:rsidP="0031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CF">
        <w:rPr>
          <w:rFonts w:ascii="Times New Roman" w:hAnsi="Times New Roman" w:cs="Times New Roman"/>
          <w:sz w:val="28"/>
          <w:szCs w:val="28"/>
        </w:rPr>
        <w:t> </w:t>
      </w:r>
    </w:p>
    <w:p w:rsidR="003141CF" w:rsidRPr="003141CF" w:rsidRDefault="003141CF" w:rsidP="0031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CF" w:rsidRPr="003141CF" w:rsidRDefault="003141CF" w:rsidP="00314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7B" w:rsidRPr="003141CF" w:rsidRDefault="00F77E7B" w:rsidP="00314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E7B" w:rsidRPr="003141CF" w:rsidSect="00CC30AD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AD" w:rsidRDefault="00F77E7B" w:rsidP="00CC30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0AD" w:rsidRDefault="00F77E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AD" w:rsidRDefault="00F77E7B" w:rsidP="00CC30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41CF">
      <w:rPr>
        <w:rStyle w:val="a6"/>
        <w:noProof/>
      </w:rPr>
      <w:t>11</w:t>
    </w:r>
    <w:r>
      <w:rPr>
        <w:rStyle w:val="a6"/>
      </w:rPr>
      <w:fldChar w:fldCharType="end"/>
    </w:r>
  </w:p>
  <w:p w:rsidR="00CC30AD" w:rsidRDefault="00F77E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6F61"/>
    <w:multiLevelType w:val="multilevel"/>
    <w:tmpl w:val="7D1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D671D"/>
    <w:multiLevelType w:val="multilevel"/>
    <w:tmpl w:val="05D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34957"/>
    <w:multiLevelType w:val="multilevel"/>
    <w:tmpl w:val="C9D4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B7D40"/>
    <w:multiLevelType w:val="multilevel"/>
    <w:tmpl w:val="93B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41CF"/>
    <w:rsid w:val="003141CF"/>
    <w:rsid w:val="00F7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41CF"/>
    <w:rPr>
      <w:b/>
      <w:bCs/>
    </w:rPr>
  </w:style>
  <w:style w:type="paragraph" w:customStyle="1" w:styleId="create-date1">
    <w:name w:val="create-date1"/>
    <w:basedOn w:val="a"/>
    <w:rsid w:val="003141CF"/>
    <w:pPr>
      <w:pBdr>
        <w:top w:val="single" w:sz="6" w:space="4" w:color="999999"/>
      </w:pBdr>
      <w:spacing w:after="84" w:line="240" w:lineRule="auto"/>
      <w:ind w:firstLine="280"/>
    </w:pPr>
    <w:rPr>
      <w:rFonts w:ascii="Arial" w:eastAsia="Times New Roman" w:hAnsi="Arial" w:cs="Arial"/>
      <w:i/>
      <w:iCs/>
      <w:color w:val="636363"/>
    </w:rPr>
  </w:style>
  <w:style w:type="paragraph" w:styleId="a4">
    <w:name w:val="header"/>
    <w:basedOn w:val="a"/>
    <w:link w:val="a5"/>
    <w:rsid w:val="00314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141C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14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3957</Words>
  <Characters>22555</Characters>
  <Application>Microsoft Office Word</Application>
  <DocSecurity>0</DocSecurity>
  <Lines>187</Lines>
  <Paragraphs>52</Paragraphs>
  <ScaleCrop>false</ScaleCrop>
  <Company/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2014-11-04T10:11:00Z</dcterms:created>
  <dcterms:modified xsi:type="dcterms:W3CDTF">2014-11-04T10:12:00Z</dcterms:modified>
</cp:coreProperties>
</file>